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450E65" w:rsidRPr="00450E65">
        <w:rPr>
          <w:rFonts w:cs="Arial"/>
          <w:b/>
          <w:color w:val="000000"/>
          <w:highlight w:val="white"/>
        </w:rPr>
        <w:t>Przebudowa drogi gminnej Glinno Wielkie - Jarki - I etap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435F27"/>
    <w:rsid w:val="00450E65"/>
    <w:rsid w:val="004D6BAE"/>
    <w:rsid w:val="00662283"/>
    <w:rsid w:val="00857667"/>
    <w:rsid w:val="00CC3846"/>
    <w:rsid w:val="00DD2418"/>
    <w:rsid w:val="00E00F28"/>
    <w:rsid w:val="00E36E55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6</cp:revision>
  <dcterms:created xsi:type="dcterms:W3CDTF">2017-03-05T18:02:00Z</dcterms:created>
  <dcterms:modified xsi:type="dcterms:W3CDTF">2017-06-08T10:15:00Z</dcterms:modified>
</cp:coreProperties>
</file>